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5"/>
        <w:gridCol w:w="6774"/>
      </w:tblGrid>
      <w:tr w:rsidR="00B53A27" w:rsidRPr="00936D55" w14:paraId="43E48F93" w14:textId="77777777" w:rsidTr="00716D3A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0F5BF65" w14:textId="7777777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EBC2BAD" w14:textId="77777777" w:rsidR="00B53A27" w:rsidRPr="00936D55" w:rsidRDefault="00C1081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10818">
              <w:rPr>
                <w:rFonts w:asciiTheme="minorHAnsi" w:hAnsiTheme="minorHAnsi" w:cstheme="minorHAnsi"/>
              </w:rPr>
              <w:t>Prevención y Control del VIH/SIDA e Infección de Transmisión Sexual (ITS)</w:t>
            </w:r>
          </w:p>
        </w:tc>
      </w:tr>
      <w:tr w:rsidR="00B53A27" w:rsidRPr="00936D55" w14:paraId="33238C8C" w14:textId="77777777" w:rsidTr="00716D3A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3264C5DB" w14:textId="7777777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F073906" w14:textId="77777777" w:rsidR="00B53A27" w:rsidRPr="00936D55" w:rsidRDefault="00C1081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B53A27" w:rsidRPr="00936D55" w14:paraId="4403CC71" w14:textId="77777777" w:rsidTr="00716D3A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5D3A9E1" w14:textId="7777777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4290078" w14:textId="77777777" w:rsidR="00B53A27" w:rsidRPr="00936D55" w:rsidRDefault="00C1081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Dirección de Prevención y Promoción a la Salud</w:t>
            </w:r>
          </w:p>
        </w:tc>
      </w:tr>
      <w:tr w:rsidR="00B53A27" w:rsidRPr="00936D55" w14:paraId="3BB68670" w14:textId="77777777" w:rsidTr="00716D3A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60C6E483" w14:textId="7777777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9397125" w14:textId="7777777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Evaluación Específica de Desempeño</w:t>
            </w:r>
          </w:p>
        </w:tc>
      </w:tr>
      <w:tr w:rsidR="00B53A27" w:rsidRPr="00936D55" w14:paraId="128DFD8E" w14:textId="77777777" w:rsidTr="00716D3A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6450430A" w14:textId="7777777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628B3FE" w14:textId="7777777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6C44E1D0" w14:textId="77777777" w:rsidR="00B53A27" w:rsidRPr="00716D3A" w:rsidRDefault="00B53A27">
      <w:pPr>
        <w:rPr>
          <w:rFonts w:asciiTheme="minorHAnsi" w:hAnsiTheme="minorHAnsi" w:cstheme="minorHAnsi"/>
          <w:sz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89"/>
      </w:tblGrid>
      <w:tr w:rsidR="00B53A27" w:rsidRPr="00936D55" w14:paraId="3FFB04B7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997CF5E" w14:textId="77777777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1BF0C9D5" w14:textId="77777777" w:rsidR="00936D55" w:rsidRPr="00716D3A" w:rsidRDefault="00936D55" w:rsidP="00936D55">
      <w:pPr>
        <w:spacing w:after="0" w:line="240" w:lineRule="auto"/>
        <w:rPr>
          <w:sz w:val="8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5"/>
        <w:gridCol w:w="2250"/>
        <w:gridCol w:w="2776"/>
        <w:gridCol w:w="2318"/>
      </w:tblGrid>
      <w:tr w:rsidR="00936D55" w:rsidRPr="00936D55" w14:paraId="0478C48E" w14:textId="77777777" w:rsidTr="00585649">
        <w:trPr>
          <w:trHeight w:val="886"/>
          <w:tblHeader/>
        </w:trPr>
        <w:tc>
          <w:tcPr>
            <w:tcW w:w="1951" w:type="dxa"/>
            <w:shd w:val="clear" w:color="auto" w:fill="651D32"/>
            <w:vAlign w:val="center"/>
          </w:tcPr>
          <w:bookmarkEnd w:id="0"/>
          <w:p w14:paraId="7F7BB2B0" w14:textId="77777777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68" w:type="dxa"/>
            <w:shd w:val="clear" w:color="auto" w:fill="651D32"/>
            <w:vAlign w:val="center"/>
          </w:tcPr>
          <w:p w14:paraId="478300A0" w14:textId="77777777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97" w:type="dxa"/>
            <w:shd w:val="clear" w:color="auto" w:fill="651D32"/>
            <w:vAlign w:val="center"/>
          </w:tcPr>
          <w:p w14:paraId="07BBC92E" w14:textId="77777777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39" w:type="dxa"/>
            <w:shd w:val="clear" w:color="auto" w:fill="651D32"/>
            <w:vAlign w:val="center"/>
          </w:tcPr>
          <w:p w14:paraId="4A218F06" w14:textId="77777777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936D55" w:rsidRPr="00936D55" w14:paraId="082E0BA9" w14:textId="77777777" w:rsidTr="00716D3A">
        <w:trPr>
          <w:trHeight w:val="7994"/>
        </w:trPr>
        <w:tc>
          <w:tcPr>
            <w:tcW w:w="1951" w:type="dxa"/>
            <w:vAlign w:val="center"/>
          </w:tcPr>
          <w:p w14:paraId="28193A3A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ADB9736" w14:textId="77777777" w:rsidR="00936D55" w:rsidRPr="00716D3A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6D3A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544F226" w14:textId="21C3419E" w:rsidR="00716D3A" w:rsidRPr="00716D3A" w:rsidRDefault="00C10818" w:rsidP="00716D3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0818">
              <w:rPr>
                <w:rFonts w:asciiTheme="minorHAnsi" w:hAnsiTheme="minorHAnsi" w:cstheme="minorHAnsi"/>
                <w:sz w:val="20"/>
                <w:szCs w:val="20"/>
              </w:rPr>
              <w:t>Fortalecimiento en los conocimientos, las aptitudes y actitudes del personal de salud.</w:t>
            </w:r>
          </w:p>
        </w:tc>
        <w:tc>
          <w:tcPr>
            <w:tcW w:w="2797" w:type="dxa"/>
            <w:vAlign w:val="center"/>
          </w:tcPr>
          <w:p w14:paraId="764E6194" w14:textId="77777777" w:rsidR="00716D3A" w:rsidRDefault="00234532" w:rsidP="007E0F35">
            <w:pPr>
              <w:spacing w:after="0" w:line="276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 w:rsidR="00716D3A" w:rsidRPr="00716D3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E0F35" w:rsidRPr="00716D3A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7E0F35" w:rsidRPr="00716D3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capacitará al </w:t>
            </w:r>
            <w:r w:rsidR="00716D3A" w:rsidRPr="00716D3A">
              <w:rPr>
                <w:rFonts w:asciiTheme="minorHAnsi" w:hAnsiTheme="minorHAnsi" w:cstheme="minorHAnsi"/>
                <w:iCs/>
                <w:sz w:val="20"/>
                <w:szCs w:val="20"/>
              </w:rPr>
              <w:t>personal dentro</w:t>
            </w:r>
            <w:r w:rsidR="007E0F35" w:rsidRPr="00716D3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del Sistema Nacional de Salud en los temas de</w:t>
            </w:r>
            <w:r w:rsidR="00716D3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7E0F35" w:rsidRPr="00716D3A">
              <w:rPr>
                <w:rFonts w:asciiTheme="minorHAnsi" w:hAnsiTheme="minorHAnsi" w:cstheme="minorHAnsi"/>
                <w:iCs/>
                <w:sz w:val="20"/>
                <w:szCs w:val="20"/>
              </w:rPr>
              <w:t>prevención combinada del VIH</w:t>
            </w:r>
            <w:r w:rsidR="00716D3A" w:rsidRPr="00716D3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(Virus de la Inmunodeficiencia Humana)</w:t>
            </w:r>
            <w:r w:rsidR="007E0F35" w:rsidRPr="00716D3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al otorgar tratamiento antirretroviral, previo a la </w:t>
            </w:r>
            <w:r w:rsidR="00716D3A" w:rsidRPr="00716D3A">
              <w:rPr>
                <w:rFonts w:asciiTheme="minorHAnsi" w:hAnsiTheme="minorHAnsi" w:cstheme="minorHAnsi"/>
                <w:iCs/>
                <w:sz w:val="20"/>
                <w:szCs w:val="20"/>
              </w:rPr>
              <w:t>exposición como una</w:t>
            </w:r>
            <w:r w:rsidR="007E0F35" w:rsidRPr="00716D3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estrategia probada para prevenir la transmisión del VIH. </w:t>
            </w:r>
          </w:p>
          <w:p w14:paraId="410A5546" w14:textId="7628D86D" w:rsidR="00716D3A" w:rsidRPr="00716D3A" w:rsidRDefault="007E0F35" w:rsidP="007E0F35">
            <w:pPr>
              <w:spacing w:after="0" w:line="276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16D3A">
              <w:rPr>
                <w:rFonts w:asciiTheme="minorHAnsi" w:hAnsiTheme="minorHAnsi" w:cstheme="minorHAnsi"/>
                <w:iCs/>
                <w:sz w:val="20"/>
                <w:szCs w:val="20"/>
              </w:rPr>
              <w:t>Adicionalmente y con la finalidad de brindar las herramientas necesarias al personal de salud para otorgar una atención integral de calidad</w:t>
            </w:r>
            <w:r w:rsidR="00A56EF9" w:rsidRPr="00716D3A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 w:rsidRPr="00716D3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se otorgarán capacitaciones en los temas de   </w:t>
            </w:r>
            <w:r w:rsidRPr="00716D3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"</w:t>
            </w:r>
            <w:r w:rsidRPr="00716D3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Acceso sin discriminación a las personas de la diversidad Sexual</w:t>
            </w:r>
            <w:r w:rsidRPr="00716D3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"</w:t>
            </w:r>
            <w:r w:rsidR="00716D3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,</w:t>
            </w:r>
            <w:r w:rsidRPr="00716D3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 "</w:t>
            </w:r>
            <w:r w:rsidRPr="00716D3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Lenguaje Incluyente Libre de Estigma y Discriminación para prestadores de los Servicios de Salud</w:t>
            </w:r>
            <w:r w:rsidRPr="00716D3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"</w:t>
            </w:r>
            <w:r w:rsidR="00716D3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716D3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y "</w:t>
            </w:r>
            <w:r w:rsidRPr="00716D3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Reducción y Prevención de daños y riesgos asociados a VIH, VHC y consumo de drogas</w:t>
            </w:r>
            <w:r w:rsidRPr="00716D3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"</w:t>
            </w:r>
            <w:r w:rsidR="008961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339" w:type="dxa"/>
            <w:vAlign w:val="center"/>
          </w:tcPr>
          <w:p w14:paraId="4476447B" w14:textId="769C17FC" w:rsidR="00936D55" w:rsidRPr="00234532" w:rsidRDefault="00C344E8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32">
              <w:rPr>
                <w:rFonts w:asciiTheme="minorHAnsi" w:hAnsiTheme="minorHAnsi" w:cstheme="minorHAnsi"/>
                <w:sz w:val="20"/>
                <w:szCs w:val="20"/>
              </w:rPr>
              <w:t xml:space="preserve">Realizar </w:t>
            </w:r>
            <w:r w:rsidR="00716D3A">
              <w:rPr>
                <w:rFonts w:asciiTheme="minorHAnsi" w:hAnsiTheme="minorHAnsi" w:cstheme="minorHAnsi"/>
                <w:sz w:val="20"/>
                <w:szCs w:val="20"/>
              </w:rPr>
              <w:t xml:space="preserve">las </w:t>
            </w:r>
            <w:r w:rsidRPr="0023453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6238B5" w:rsidRPr="00234532">
              <w:rPr>
                <w:rFonts w:asciiTheme="minorHAnsi" w:hAnsiTheme="minorHAnsi" w:cstheme="minorHAnsi"/>
                <w:sz w:val="20"/>
                <w:szCs w:val="20"/>
              </w:rPr>
              <w:t>apacitaciones</w:t>
            </w:r>
            <w:r w:rsidR="00716D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13F6" w:rsidRPr="00234532">
              <w:rPr>
                <w:rFonts w:asciiTheme="minorHAnsi" w:hAnsiTheme="minorHAnsi" w:cstheme="minorHAnsi"/>
                <w:sz w:val="20"/>
                <w:szCs w:val="20"/>
              </w:rPr>
              <w:t xml:space="preserve">permanentes </w:t>
            </w:r>
            <w:r w:rsidR="006238B5" w:rsidRPr="00234532">
              <w:rPr>
                <w:rFonts w:asciiTheme="minorHAnsi" w:hAnsiTheme="minorHAnsi" w:cstheme="minorHAnsi"/>
                <w:sz w:val="20"/>
                <w:szCs w:val="20"/>
              </w:rPr>
              <w:t>al personal de salud.</w:t>
            </w:r>
          </w:p>
        </w:tc>
      </w:tr>
      <w:tr w:rsidR="00936D55" w:rsidRPr="00936D55" w14:paraId="0F8091E7" w14:textId="77777777" w:rsidTr="00716D3A">
        <w:trPr>
          <w:trHeight w:val="5140"/>
        </w:trPr>
        <w:tc>
          <w:tcPr>
            <w:tcW w:w="1951" w:type="dxa"/>
            <w:vAlign w:val="center"/>
          </w:tcPr>
          <w:p w14:paraId="6982183A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3EE84E00" w14:textId="77777777" w:rsidR="00936D55" w:rsidRPr="00716D3A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6D3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7105232C" w14:textId="77777777" w:rsidR="00936D55" w:rsidRPr="00936D55" w:rsidRDefault="00C10818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0818">
              <w:rPr>
                <w:rFonts w:asciiTheme="minorHAnsi" w:hAnsiTheme="minorHAnsi" w:cstheme="minorHAnsi"/>
                <w:sz w:val="20"/>
                <w:szCs w:val="20"/>
              </w:rPr>
              <w:t>Incitar la participación de la población general en mejorar la atención del autocuidado e implementar las estrategias de prevención para la erradicación del VIH, a través de la promoción del uso de los diferentes métodos de prevención del VIH, en base a las necesidades de las personas.</w:t>
            </w:r>
          </w:p>
        </w:tc>
        <w:tc>
          <w:tcPr>
            <w:tcW w:w="2797" w:type="dxa"/>
            <w:vAlign w:val="center"/>
          </w:tcPr>
          <w:p w14:paraId="6D2352A2" w14:textId="52042325" w:rsidR="00936D55" w:rsidRPr="00234532" w:rsidRDefault="00234532" w:rsidP="004C4D3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1230C7" w:rsidRPr="00234532">
              <w:rPr>
                <w:rFonts w:asciiTheme="minorHAnsi" w:hAnsiTheme="minorHAnsi" w:cstheme="minorHAnsi"/>
                <w:sz w:val="20"/>
                <w:szCs w:val="20"/>
              </w:rPr>
              <w:t>e buscarán y se implementarán mecanismos para concientizar a la población en la atención del autocuidado para la prevención del VIH, lo anterior, través de la promoción del uso de los diferentes métodos de prevención del VIH</w:t>
            </w:r>
            <w:r w:rsidR="004C4D3A" w:rsidRPr="00234532">
              <w:rPr>
                <w:rFonts w:asciiTheme="minorHAnsi" w:hAnsiTheme="minorHAnsi" w:cstheme="minorHAnsi"/>
                <w:sz w:val="20"/>
                <w:szCs w:val="20"/>
              </w:rPr>
              <w:t xml:space="preserve"> entre los que se encuentran el uso correcto y consistente del condón y próximamente el otorgamiento de profilaxis pre exposición al VIH en personas de alto riesgo de contagio</w:t>
            </w:r>
            <w:r w:rsidR="001230C7" w:rsidRPr="0023453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C4D3A" w:rsidRPr="00234532">
              <w:rPr>
                <w:rFonts w:asciiTheme="minorHAnsi" w:hAnsiTheme="minorHAnsi" w:cstheme="minorHAnsi"/>
                <w:sz w:val="20"/>
                <w:szCs w:val="20"/>
              </w:rPr>
              <w:t>esto con base en las</w:t>
            </w:r>
            <w:r w:rsidR="001230C7" w:rsidRPr="00234532">
              <w:rPr>
                <w:rFonts w:asciiTheme="minorHAnsi" w:hAnsiTheme="minorHAnsi" w:cstheme="minorHAnsi"/>
                <w:sz w:val="20"/>
                <w:szCs w:val="20"/>
              </w:rPr>
              <w:t xml:space="preserve"> necesidades de las personas.</w:t>
            </w:r>
          </w:p>
        </w:tc>
        <w:tc>
          <w:tcPr>
            <w:tcW w:w="2339" w:type="dxa"/>
            <w:vAlign w:val="center"/>
          </w:tcPr>
          <w:p w14:paraId="7F25F03B" w14:textId="77777777" w:rsidR="00936D55" w:rsidRPr="00234532" w:rsidRDefault="001230C7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32">
              <w:rPr>
                <w:rFonts w:asciiTheme="minorHAnsi" w:hAnsiTheme="minorHAnsi" w:cstheme="minorHAnsi"/>
                <w:sz w:val="20"/>
                <w:szCs w:val="20"/>
              </w:rPr>
              <w:t>Realizar campañas de concientización y promoción del uso de los métodos de prevención para la erradicación del VIH</w:t>
            </w:r>
            <w:r w:rsidR="00865A0A" w:rsidRPr="00234532">
              <w:rPr>
                <w:rFonts w:asciiTheme="minorHAnsi" w:hAnsiTheme="minorHAnsi" w:cstheme="minorHAnsi"/>
                <w:sz w:val="20"/>
                <w:szCs w:val="20"/>
              </w:rPr>
              <w:t>, en espacios públicos, instituciones educativas,</w:t>
            </w:r>
            <w:r w:rsidR="004C4D3A" w:rsidRPr="00234532">
              <w:rPr>
                <w:rFonts w:asciiTheme="minorHAnsi" w:hAnsiTheme="minorHAnsi" w:cstheme="minorHAnsi"/>
                <w:sz w:val="20"/>
                <w:szCs w:val="20"/>
              </w:rPr>
              <w:t xml:space="preserve"> instituciones de salud,</w:t>
            </w:r>
            <w:r w:rsidR="00865A0A" w:rsidRPr="00234532">
              <w:rPr>
                <w:rFonts w:asciiTheme="minorHAnsi" w:hAnsiTheme="minorHAnsi" w:cstheme="minorHAnsi"/>
                <w:sz w:val="20"/>
                <w:szCs w:val="20"/>
              </w:rPr>
              <w:t xml:space="preserve"> entre otros.</w:t>
            </w:r>
          </w:p>
          <w:p w14:paraId="6D7E107A" w14:textId="77777777" w:rsidR="001230C7" w:rsidRPr="00234532" w:rsidRDefault="001230C7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4AFAB4" w14:textId="77777777" w:rsidR="001230C7" w:rsidRPr="00234532" w:rsidRDefault="001230C7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32">
              <w:rPr>
                <w:rFonts w:asciiTheme="minorHAnsi" w:hAnsiTheme="minorHAnsi" w:cstheme="minorHAnsi"/>
                <w:sz w:val="20"/>
                <w:szCs w:val="20"/>
              </w:rPr>
              <w:t>Además,</w:t>
            </w:r>
            <w:r w:rsidR="00865A0A" w:rsidRPr="00234532">
              <w:rPr>
                <w:rFonts w:asciiTheme="minorHAnsi" w:hAnsiTheme="minorHAnsi" w:cstheme="minorHAnsi"/>
                <w:sz w:val="20"/>
                <w:szCs w:val="20"/>
              </w:rPr>
              <w:t xml:space="preserve"> realizar estrategias de comunicación como las redes sociales para difundir información.</w:t>
            </w:r>
          </w:p>
        </w:tc>
      </w:tr>
      <w:tr w:rsidR="00B875B8" w:rsidRPr="00936D55" w14:paraId="06607329" w14:textId="77777777" w:rsidTr="00716D3A">
        <w:trPr>
          <w:trHeight w:val="4247"/>
        </w:trPr>
        <w:tc>
          <w:tcPr>
            <w:tcW w:w="1951" w:type="dxa"/>
            <w:vAlign w:val="center"/>
          </w:tcPr>
          <w:p w14:paraId="5269FB79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6E11F68" w14:textId="77777777" w:rsidR="00B875B8" w:rsidRPr="00716D3A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6D3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57EB970" w14:textId="77777777" w:rsidR="00B875B8" w:rsidRPr="00861D0A" w:rsidRDefault="00C1081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0818">
              <w:rPr>
                <w:rFonts w:asciiTheme="minorHAnsi" w:hAnsiTheme="minorHAnsi" w:cstheme="minorHAnsi"/>
                <w:sz w:val="20"/>
                <w:szCs w:val="20"/>
              </w:rPr>
              <w:t>Difundir información para dar a conocer la implementación de la PrEP, como una estrategia de prevención combinada que incluye otros métodos de prevención disponibles y generar información pertinente para las poblaciones clave sobre la prevención.</w:t>
            </w:r>
          </w:p>
        </w:tc>
        <w:tc>
          <w:tcPr>
            <w:tcW w:w="2797" w:type="dxa"/>
            <w:vAlign w:val="center"/>
          </w:tcPr>
          <w:p w14:paraId="299CE3AB" w14:textId="0B6A1B26" w:rsidR="00B875B8" w:rsidRPr="00234532" w:rsidRDefault="00234532" w:rsidP="0057581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865A0A" w:rsidRPr="00234532">
              <w:rPr>
                <w:rFonts w:asciiTheme="minorHAnsi" w:hAnsiTheme="minorHAnsi" w:cstheme="minorHAnsi"/>
                <w:sz w:val="20"/>
                <w:szCs w:val="20"/>
              </w:rPr>
              <w:t>e difundirá la implementación de la PrEP a través de diferentes herramientas,</w:t>
            </w:r>
            <w:r w:rsidR="0057581C" w:rsidRPr="00234532">
              <w:rPr>
                <w:rFonts w:asciiTheme="minorHAnsi" w:hAnsiTheme="minorHAnsi" w:cstheme="minorHAnsi"/>
                <w:sz w:val="20"/>
                <w:szCs w:val="20"/>
              </w:rPr>
              <w:t xml:space="preserve"> tanto virtuales como presenciales, dirigidas inicialmente al personal médico/paramédico y posteriormente a las poblaciones de riesgo,</w:t>
            </w:r>
            <w:r w:rsidR="00865A0A" w:rsidRPr="00234532">
              <w:rPr>
                <w:rFonts w:asciiTheme="minorHAnsi" w:hAnsiTheme="minorHAnsi" w:cstheme="minorHAnsi"/>
                <w:sz w:val="20"/>
                <w:szCs w:val="20"/>
              </w:rPr>
              <w:t xml:space="preserve"> con el objetivo de dar a conocer </w:t>
            </w:r>
            <w:r w:rsidR="0057581C" w:rsidRPr="00234532">
              <w:rPr>
                <w:rFonts w:asciiTheme="minorHAnsi" w:hAnsiTheme="minorHAnsi" w:cstheme="minorHAnsi"/>
                <w:sz w:val="20"/>
                <w:szCs w:val="20"/>
              </w:rPr>
              <w:t>las nuevas estrategias preventivas y disminuir con ello la incidencia del VIH en nuestro estado.</w:t>
            </w:r>
          </w:p>
        </w:tc>
        <w:tc>
          <w:tcPr>
            <w:tcW w:w="2339" w:type="dxa"/>
            <w:vAlign w:val="center"/>
          </w:tcPr>
          <w:p w14:paraId="02D6D2C5" w14:textId="77777777" w:rsidR="00B875B8" w:rsidRPr="00234532" w:rsidRDefault="00865A0A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32">
              <w:rPr>
                <w:rFonts w:asciiTheme="minorHAnsi" w:hAnsiTheme="minorHAnsi" w:cstheme="minorHAnsi"/>
                <w:sz w:val="20"/>
                <w:szCs w:val="20"/>
              </w:rPr>
              <w:t>Llevar a cabo talleres y/o pláticas informativas en instituciones educativas, además de difundir la información a través de carteles, infografías en espacios públicos.</w:t>
            </w:r>
          </w:p>
        </w:tc>
      </w:tr>
    </w:tbl>
    <w:p w14:paraId="3D2EAA16" w14:textId="77777777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23FF5AF" w14:textId="77777777" w:rsidR="00936D55" w:rsidRDefault="00936D55"/>
    <w:p w14:paraId="1B2DF4E9" w14:textId="77777777" w:rsidR="00234532" w:rsidRDefault="00234532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89"/>
      </w:tblGrid>
      <w:tr w:rsidR="00936D55" w:rsidRPr="00936D55" w14:paraId="4C2D78B2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AC1141D" w14:textId="00A02812" w:rsidR="00936D55" w:rsidRPr="00936D55" w:rsidRDefault="00936D55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lastRenderedPageBreak/>
              <w:t>Posición Institucional respecto de la evaluación</w:t>
            </w:r>
          </w:p>
        </w:tc>
      </w:tr>
    </w:tbl>
    <w:p w14:paraId="077C2E8B" w14:textId="77777777" w:rsidR="00F77312" w:rsidRPr="00F649A0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6"/>
          <w:szCs w:val="10"/>
        </w:rPr>
      </w:pPr>
    </w:p>
    <w:p w14:paraId="421230DC" w14:textId="77777777" w:rsidR="00936D55" w:rsidRPr="00936D55" w:rsidRDefault="00936D55" w:rsidP="00936D55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>Se considera que el Informe de la Evaluación Específica de Desempeño, contiene los elementos necesarios para conocer el programa y su evolución a través del tiempo.</w:t>
      </w:r>
      <w:bookmarkStart w:id="1" w:name="_GoBack"/>
      <w:bookmarkEnd w:id="1"/>
    </w:p>
    <w:p w14:paraId="4EE941C3" w14:textId="77777777" w:rsidR="00936D55" w:rsidRPr="00936D55" w:rsidRDefault="00936D55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89"/>
      </w:tblGrid>
      <w:tr w:rsidR="00936D55" w:rsidRPr="00936D55" w14:paraId="600325F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658CA782" w14:textId="77777777" w:rsidR="00936D55" w:rsidRPr="00936D55" w:rsidRDefault="00936D55" w:rsidP="00922BAB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73D4DC68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481873E6" w14:textId="77777777" w:rsidR="002B45DE" w:rsidRPr="00936D55" w:rsidRDefault="002B45DE" w:rsidP="00F10E83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3.1 Sobre los resultados de la evaluación</w:t>
      </w:r>
    </w:p>
    <w:p w14:paraId="6D230A9B" w14:textId="77777777" w:rsidR="00C10818" w:rsidRPr="00881A7E" w:rsidRDefault="00F829B7" w:rsidP="00F10E8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1A7E">
        <w:rPr>
          <w:rFonts w:asciiTheme="minorHAnsi" w:hAnsiTheme="minorHAnsi" w:cstheme="minorHAnsi"/>
          <w:sz w:val="20"/>
          <w:szCs w:val="20"/>
        </w:rPr>
        <w:t>El programa presenta un desempeño favorable al cumplir con las metas propuestas.</w:t>
      </w:r>
    </w:p>
    <w:p w14:paraId="745AC428" w14:textId="77777777" w:rsidR="00F829B7" w:rsidRPr="00881A7E" w:rsidRDefault="00F829B7" w:rsidP="00F10E83">
      <w:pPr>
        <w:pStyle w:val="Prrafodelista"/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59242971" w14:textId="77777777" w:rsidR="00B875B8" w:rsidRPr="00881A7E" w:rsidRDefault="00F829B7" w:rsidP="00F10E8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1A7E">
        <w:rPr>
          <w:rFonts w:asciiTheme="minorHAnsi" w:hAnsiTheme="minorHAnsi" w:cstheme="minorHAnsi"/>
          <w:sz w:val="20"/>
          <w:szCs w:val="20"/>
        </w:rPr>
        <w:t>Se aumentaron el número de personas que ingresan al tratamiento antirretroviral.</w:t>
      </w:r>
    </w:p>
    <w:p w14:paraId="5B56B814" w14:textId="77777777" w:rsidR="00F829B7" w:rsidRPr="00881A7E" w:rsidRDefault="00F829B7" w:rsidP="00F10E83">
      <w:pPr>
        <w:pStyle w:val="Prrafodelista"/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28E0C3EA" w14:textId="77777777" w:rsidR="00F829B7" w:rsidRPr="00881A7E" w:rsidRDefault="00F829B7" w:rsidP="00F10E8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1A7E">
        <w:rPr>
          <w:rFonts w:asciiTheme="minorHAnsi" w:hAnsiTheme="minorHAnsi" w:cstheme="minorHAnsi"/>
          <w:sz w:val="20"/>
          <w:szCs w:val="20"/>
        </w:rPr>
        <w:t>Por lo que se refiere a las personas que viven con VIH en tratamiento antirretroviral, más del 90% de ellas lograron mantenerse con carga viral indetectable, es decir, que el VIH se encuentra en cifras extremadamente bajas y con ello, logrando la no transmisión a sus parejas sexuales, además de la nula inflamación orgánica y la disminución sustancial de hospitalizaciones por enfermedades relacionadas al SIDA.</w:t>
      </w:r>
    </w:p>
    <w:p w14:paraId="51C8AA05" w14:textId="77777777" w:rsidR="00F829B7" w:rsidRPr="00881A7E" w:rsidRDefault="00F829B7" w:rsidP="00F10E83">
      <w:pPr>
        <w:pStyle w:val="Prrafodelista"/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1A2F5CA2" w14:textId="77777777" w:rsidR="00F829B7" w:rsidRPr="00881A7E" w:rsidRDefault="00F829B7" w:rsidP="00F10E8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1A7E">
        <w:rPr>
          <w:rFonts w:asciiTheme="minorHAnsi" w:hAnsiTheme="minorHAnsi" w:cstheme="minorHAnsi"/>
          <w:sz w:val="20"/>
          <w:szCs w:val="20"/>
        </w:rPr>
        <w:t>Se bridaron capacitaciones al personal operativo de las UNEMES, las CAPASITS y los SAIH del estado de Sinaloa, con referencia al modelo de PrEP (profilaxis preexposición), con el cual se busca implementar en Sinaloa y en un futuro cercano y así poder brindar cobertura a las personas de mayor riesgo de presentar infección por VIH.</w:t>
      </w:r>
    </w:p>
    <w:p w14:paraId="26016C06" w14:textId="77777777" w:rsidR="00F829B7" w:rsidRPr="00881A7E" w:rsidRDefault="00F829B7" w:rsidP="00F10E83">
      <w:pPr>
        <w:pStyle w:val="Prrafodelista"/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1F99EC5C" w14:textId="77777777" w:rsidR="00F829B7" w:rsidRPr="00881A7E" w:rsidRDefault="00F829B7" w:rsidP="00F10E8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1A7E">
        <w:rPr>
          <w:rFonts w:asciiTheme="minorHAnsi" w:hAnsiTheme="minorHAnsi" w:cstheme="minorHAnsi"/>
          <w:sz w:val="20"/>
          <w:szCs w:val="20"/>
        </w:rPr>
        <w:t>Las UNEMES, las CAPASITS y los SAIH dependientes del programa se han convertido no solo en unidades de tratamiento, sino también en unidades preventivas y de diagnóstico.</w:t>
      </w:r>
    </w:p>
    <w:p w14:paraId="6F0D5884" w14:textId="77777777" w:rsidR="00F829B7" w:rsidRPr="00881A7E" w:rsidRDefault="00F829B7" w:rsidP="00F10E83">
      <w:pPr>
        <w:pStyle w:val="Prrafodelista"/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</w:p>
    <w:p w14:paraId="6E09AAA6" w14:textId="77777777" w:rsidR="00F829B7" w:rsidRPr="00881A7E" w:rsidRDefault="00F829B7" w:rsidP="00F10E8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1A7E">
        <w:rPr>
          <w:rFonts w:asciiTheme="minorHAnsi" w:hAnsiTheme="minorHAnsi" w:cstheme="minorHAnsi"/>
          <w:sz w:val="20"/>
          <w:szCs w:val="20"/>
        </w:rPr>
        <w:t>No existe desabasto en los tratamientos propios para tratar el VIH (tratamientos antirretrovirales).</w:t>
      </w:r>
    </w:p>
    <w:p w14:paraId="03E49553" w14:textId="77777777" w:rsidR="002B45DE" w:rsidRPr="00936D55" w:rsidRDefault="002B45DE" w:rsidP="00F10E83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3413DBB" w14:textId="77777777" w:rsidR="00EE0924" w:rsidRPr="00936D55" w:rsidRDefault="00EE0924" w:rsidP="00F10E83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28EA320F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716D3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50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73809" w14:textId="77777777" w:rsidR="00535105" w:rsidRDefault="00535105" w:rsidP="008E5209">
      <w:pPr>
        <w:spacing w:after="0" w:line="240" w:lineRule="auto"/>
      </w:pPr>
      <w:r>
        <w:separator/>
      </w:r>
    </w:p>
  </w:endnote>
  <w:endnote w:type="continuationSeparator" w:id="0">
    <w:p w14:paraId="621A63BF" w14:textId="77777777" w:rsidR="00535105" w:rsidRDefault="00535105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2008561420"/>
      <w:docPartObj>
        <w:docPartGallery w:val="Page Numbers (Bottom of Page)"/>
        <w:docPartUnique/>
      </w:docPartObj>
    </w:sdtPr>
    <w:sdtEndPr/>
    <w:sdtContent>
      <w:p w14:paraId="14E78144" w14:textId="6455DE92" w:rsidR="00716D3A" w:rsidRPr="00716D3A" w:rsidRDefault="00716D3A" w:rsidP="00716D3A">
        <w:pPr>
          <w:pStyle w:val="Piedepgina"/>
          <w:jc w:val="right"/>
          <w:rPr>
            <w:b/>
          </w:rPr>
        </w:pPr>
        <w:r w:rsidRPr="00716D3A">
          <w:rPr>
            <w:b/>
          </w:rPr>
          <w:fldChar w:fldCharType="begin"/>
        </w:r>
        <w:r w:rsidRPr="00716D3A">
          <w:rPr>
            <w:b/>
          </w:rPr>
          <w:instrText>PAGE   \* MERGEFORMAT</w:instrText>
        </w:r>
        <w:r w:rsidRPr="00716D3A">
          <w:rPr>
            <w:b/>
          </w:rPr>
          <w:fldChar w:fldCharType="separate"/>
        </w:r>
        <w:r>
          <w:rPr>
            <w:b/>
          </w:rPr>
          <w:t>1</w:t>
        </w:r>
        <w:r w:rsidRPr="00716D3A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1079872486"/>
      <w:docPartObj>
        <w:docPartGallery w:val="Page Numbers (Bottom of Page)"/>
        <w:docPartUnique/>
      </w:docPartObj>
    </w:sdtPr>
    <w:sdtEndPr/>
    <w:sdtContent>
      <w:p w14:paraId="35E4BC3E" w14:textId="11F9C356" w:rsidR="00716D3A" w:rsidRPr="00716D3A" w:rsidRDefault="00716D3A">
        <w:pPr>
          <w:pStyle w:val="Piedepgina"/>
          <w:jc w:val="right"/>
          <w:rPr>
            <w:b/>
          </w:rPr>
        </w:pPr>
        <w:r w:rsidRPr="00716D3A">
          <w:rPr>
            <w:b/>
          </w:rPr>
          <w:fldChar w:fldCharType="begin"/>
        </w:r>
        <w:r w:rsidRPr="00716D3A">
          <w:rPr>
            <w:b/>
          </w:rPr>
          <w:instrText>PAGE   \* MERGEFORMAT</w:instrText>
        </w:r>
        <w:r w:rsidRPr="00716D3A">
          <w:rPr>
            <w:b/>
          </w:rPr>
          <w:fldChar w:fldCharType="separate"/>
        </w:r>
        <w:r w:rsidRPr="00716D3A">
          <w:rPr>
            <w:b/>
            <w:lang w:val="es-ES"/>
          </w:rPr>
          <w:t>2</w:t>
        </w:r>
        <w:r w:rsidRPr="00716D3A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F3E7E" w14:textId="77777777" w:rsidR="00535105" w:rsidRDefault="00535105" w:rsidP="008E5209">
      <w:pPr>
        <w:spacing w:after="0" w:line="240" w:lineRule="auto"/>
      </w:pPr>
      <w:r>
        <w:separator/>
      </w:r>
    </w:p>
  </w:footnote>
  <w:footnote w:type="continuationSeparator" w:id="0">
    <w:p w14:paraId="72998AF8" w14:textId="77777777" w:rsidR="00535105" w:rsidRDefault="00535105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CA1BB" w14:textId="77777777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20F09887" wp14:editId="491829E4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A7994" w14:textId="77777777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3F0BE82B" wp14:editId="46D69961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.2pt;height:9.2pt" o:bullet="t">
        <v:imagedata r:id="rId1" o:title="BD14868_"/>
      </v:shape>
    </w:pict>
  </w:numPicBullet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230C7"/>
    <w:rsid w:val="00131E38"/>
    <w:rsid w:val="00145904"/>
    <w:rsid w:val="00161267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4532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5E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C4D3A"/>
    <w:rsid w:val="004D131A"/>
    <w:rsid w:val="004D31EC"/>
    <w:rsid w:val="004E5966"/>
    <w:rsid w:val="004F1261"/>
    <w:rsid w:val="0050641D"/>
    <w:rsid w:val="00510CF9"/>
    <w:rsid w:val="00531BE3"/>
    <w:rsid w:val="00531C3D"/>
    <w:rsid w:val="00535105"/>
    <w:rsid w:val="005369D7"/>
    <w:rsid w:val="00550AFC"/>
    <w:rsid w:val="00555F51"/>
    <w:rsid w:val="005565AC"/>
    <w:rsid w:val="00564E3C"/>
    <w:rsid w:val="0056725C"/>
    <w:rsid w:val="00575727"/>
    <w:rsid w:val="0057581C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38B5"/>
    <w:rsid w:val="0062578D"/>
    <w:rsid w:val="00630891"/>
    <w:rsid w:val="006513F6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46B2"/>
    <w:rsid w:val="00705C1F"/>
    <w:rsid w:val="00707205"/>
    <w:rsid w:val="00716D3A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0F35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61D0A"/>
    <w:rsid w:val="00865A0A"/>
    <w:rsid w:val="008726E2"/>
    <w:rsid w:val="00874C99"/>
    <w:rsid w:val="00881A7E"/>
    <w:rsid w:val="0088276D"/>
    <w:rsid w:val="00882D04"/>
    <w:rsid w:val="008905B0"/>
    <w:rsid w:val="00890761"/>
    <w:rsid w:val="0089611A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56E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0818"/>
    <w:rsid w:val="00C17070"/>
    <w:rsid w:val="00C17101"/>
    <w:rsid w:val="00C2107C"/>
    <w:rsid w:val="00C30726"/>
    <w:rsid w:val="00C344E8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2843"/>
    <w:rsid w:val="00EE0924"/>
    <w:rsid w:val="00EE32E3"/>
    <w:rsid w:val="00EF79E5"/>
    <w:rsid w:val="00F0320D"/>
    <w:rsid w:val="00F10E83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649A0"/>
    <w:rsid w:val="00F75E9D"/>
    <w:rsid w:val="00F77312"/>
    <w:rsid w:val="00F829B7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11FE3"/>
  <w15:docId w15:val="{CEBD61AA-A3A9-4DC1-B95B-625164CA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4981-4240-40CB-915F-C94504F9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762</Words>
  <Characters>4239</Characters>
  <Application>Microsoft Office Word</Application>
  <DocSecurity>0</DocSecurity>
  <Lines>184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Evaluacion</cp:lastModifiedBy>
  <cp:revision>9</cp:revision>
  <cp:lastPrinted>2021-10-18T17:24:00Z</cp:lastPrinted>
  <dcterms:created xsi:type="dcterms:W3CDTF">2022-07-06T19:16:00Z</dcterms:created>
  <dcterms:modified xsi:type="dcterms:W3CDTF">2022-08-11T17:52:00Z</dcterms:modified>
</cp:coreProperties>
</file>